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B4DF" w14:textId="77777777" w:rsidR="000443EC" w:rsidRDefault="000443EC" w:rsidP="000443EC">
      <w:pPr>
        <w:spacing w:line="240" w:lineRule="auto"/>
        <w:jc w:val="both"/>
        <w:rPr>
          <w:rFonts w:ascii="Calibri" w:hAnsi="Calibri" w:cs="Calibri"/>
          <w:b/>
        </w:rPr>
      </w:pPr>
    </w:p>
    <w:tbl>
      <w:tblPr>
        <w:tblpPr w:leftFromText="180" w:rightFromText="180" w:vertAnchor="page" w:horzAnchor="margin" w:tblpXSpec="center" w:tblpY="676"/>
        <w:tblW w:w="10348" w:type="dxa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0443EC" w14:paraId="2EE0B15A" w14:textId="77777777" w:rsidTr="008A7F25">
        <w:trPr>
          <w:trHeight w:val="500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C96C8D9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032EBA0" wp14:editId="4C863835">
                  <wp:extent cx="1111250" cy="1012825"/>
                  <wp:effectExtent l="0" t="0" r="0" b="0"/>
                  <wp:docPr id="1780994081" name="image1.png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, company name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012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FA3EDA5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385623"/>
                <w:sz w:val="40"/>
                <w:szCs w:val="40"/>
              </w:rPr>
              <w:t>Wantirna Primary School</w:t>
            </w:r>
          </w:p>
        </w:tc>
      </w:tr>
      <w:tr w:rsidR="000443EC" w14:paraId="5993F806" w14:textId="77777777" w:rsidTr="008A7F25">
        <w:trPr>
          <w:trHeight w:val="36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D009E70" w14:textId="77777777" w:rsidR="000443EC" w:rsidRDefault="000443EC" w:rsidP="008A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BCB193D" w14:textId="04800511" w:rsidR="000443EC" w:rsidRDefault="005879B2" w:rsidP="008A7F2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Insurance (including personal property damage, medical expenses and personal accident / injury policy)</w:t>
            </w:r>
          </w:p>
        </w:tc>
      </w:tr>
      <w:tr w:rsidR="000443EC" w14:paraId="239775B0" w14:textId="77777777" w:rsidTr="008A7F25">
        <w:trPr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C9EE73B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Last Review Date:</w:t>
            </w:r>
          </w:p>
          <w:p w14:paraId="17198F3D" w14:textId="246EF396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November 2025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A98D19B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Due for Next Review: </w:t>
            </w:r>
          </w:p>
          <w:p w14:paraId="63ADF4DC" w14:textId="27F4F9FF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November 202</w:t>
            </w:r>
            <w:r w:rsidR="005879B2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443EC" w14:paraId="7A9C1086" w14:textId="77777777" w:rsidTr="008A7F25">
        <w:trPr>
          <w:trHeight w:val="9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48AABA5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Included on Website:</w:t>
            </w:r>
          </w:p>
          <w:p w14:paraId="56E79016" w14:textId="0FB2F648" w:rsidR="000443EC" w:rsidRDefault="000443EC" w:rsidP="0058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Yes   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C8F9036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Authorised (Principal):</w:t>
            </w:r>
          </w:p>
        </w:tc>
      </w:tr>
    </w:tbl>
    <w:p w14:paraId="43B0B1D6" w14:textId="77777777" w:rsidR="000443EC" w:rsidRDefault="000443EC" w:rsidP="000443EC">
      <w:pPr>
        <w:rPr>
          <w:b/>
          <w:bCs/>
        </w:rPr>
      </w:pPr>
    </w:p>
    <w:p w14:paraId="468324BC" w14:textId="2E04F422" w:rsidR="000443EC" w:rsidRPr="000443EC" w:rsidRDefault="000443EC" w:rsidP="000443EC">
      <w:r>
        <w:rPr>
          <w:noProof/>
        </w:rPr>
        <w:drawing>
          <wp:anchor distT="0" distB="0" distL="114300" distR="114300" simplePos="0" relativeHeight="251660288" behindDoc="0" locked="0" layoutInCell="1" allowOverlap="1" wp14:anchorId="5C718544" wp14:editId="0A12677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17C09A" wp14:editId="4D44D0A0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443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</w:t>
      </w:r>
      <w:r w:rsidRPr="000443EC">
        <w:rPr>
          <w:b/>
          <w:bCs/>
        </w:rPr>
        <w:t>Help for non-English speakers</w:t>
      </w:r>
    </w:p>
    <w:p w14:paraId="4C7E24F8" w14:textId="65F9047C" w:rsidR="000443EC" w:rsidRPr="000443EC" w:rsidRDefault="000443EC" w:rsidP="000443EC">
      <w:r w:rsidRPr="000443EC">
        <w:t xml:space="preserve">If you need help to understand the information in this policy, please contact Wantirna Primary School on (03) 9801 1938 or </w:t>
      </w:r>
      <w:hyperlink r:id="rId7" w:history="1">
        <w:r w:rsidRPr="000443EC">
          <w:rPr>
            <w:rStyle w:val="Hyperlink"/>
          </w:rPr>
          <w:t>wantirna.ps@education.vic.gov.au</w:t>
        </w:r>
      </w:hyperlink>
      <w:r w:rsidRPr="000443EC">
        <w:t> </w:t>
      </w:r>
    </w:p>
    <w:p w14:paraId="734BD2FD" w14:textId="77777777" w:rsidR="005879B2" w:rsidRPr="009C390C" w:rsidRDefault="005879B2" w:rsidP="005879B2">
      <w:pPr>
        <w:spacing w:before="40" w:after="240" w:line="240" w:lineRule="auto"/>
        <w:jc w:val="both"/>
        <w:rPr>
          <w:rFonts w:ascii="Calibri" w:hAnsi="Calibri" w:cs="Calibri"/>
          <w:b/>
        </w:rPr>
      </w:pPr>
    </w:p>
    <w:p w14:paraId="3EEA25CD" w14:textId="77777777" w:rsidR="005879B2" w:rsidRPr="00D24053" w:rsidRDefault="005879B2" w:rsidP="005879B2">
      <w:pPr>
        <w:pStyle w:val="Heading2"/>
        <w:spacing w:after="240"/>
        <w:jc w:val="both"/>
        <w:rPr>
          <w:b/>
          <w:caps/>
          <w:color w:val="156082" w:themeColor="accent1"/>
        </w:rPr>
      </w:pPr>
      <w:r>
        <w:rPr>
          <w:b/>
          <w:caps/>
          <w:color w:val="156082" w:themeColor="accent1"/>
        </w:rPr>
        <w:t>Purpose</w:t>
      </w:r>
    </w:p>
    <w:p w14:paraId="37B906E9" w14:textId="6356B579" w:rsidR="005879B2" w:rsidRPr="00550086" w:rsidRDefault="005879B2" w:rsidP="005879B2">
      <w:pPr>
        <w:spacing w:before="40" w:after="240"/>
        <w:jc w:val="both"/>
      </w:pPr>
      <w:r w:rsidRPr="00550086">
        <w:t xml:space="preserve">To explain </w:t>
      </w:r>
      <w:r>
        <w:t>Wantirna Primary School</w:t>
      </w:r>
      <w:r w:rsidRPr="00550086">
        <w:t xml:space="preserve"> policy in relation to personal property</w:t>
      </w:r>
      <w:r>
        <w:t>, medical and other insurance and to ensure that special or valuable items of personal property are not brought to school or on school excursions</w:t>
      </w:r>
      <w:r w:rsidRPr="00550086">
        <w:t>.</w:t>
      </w:r>
    </w:p>
    <w:p w14:paraId="504ADF87" w14:textId="77777777" w:rsidR="005879B2" w:rsidRPr="00D24053" w:rsidRDefault="005879B2" w:rsidP="005879B2">
      <w:pPr>
        <w:pStyle w:val="Heading2"/>
        <w:spacing w:after="240"/>
        <w:jc w:val="both"/>
        <w:rPr>
          <w:b/>
          <w:caps/>
          <w:color w:val="156082" w:themeColor="accent1"/>
        </w:rPr>
      </w:pPr>
      <w:r>
        <w:rPr>
          <w:b/>
          <w:caps/>
          <w:color w:val="156082" w:themeColor="accent1"/>
        </w:rPr>
        <w:t>Scope</w:t>
      </w:r>
    </w:p>
    <w:p w14:paraId="636E1170" w14:textId="77777777" w:rsidR="005879B2" w:rsidRPr="00550086" w:rsidRDefault="005879B2" w:rsidP="005879B2">
      <w:pPr>
        <w:spacing w:before="40" w:after="240"/>
        <w:jc w:val="both"/>
      </w:pPr>
      <w:r w:rsidRPr="00550086">
        <w:t xml:space="preserve">This policy applies to all school activities, including camps and excursions.  </w:t>
      </w:r>
    </w:p>
    <w:p w14:paraId="109FD5E6" w14:textId="77777777" w:rsidR="005879B2" w:rsidRPr="00D24053" w:rsidRDefault="005879B2" w:rsidP="005879B2">
      <w:pPr>
        <w:pStyle w:val="Heading2"/>
        <w:spacing w:after="240"/>
        <w:jc w:val="both"/>
        <w:rPr>
          <w:b/>
          <w:caps/>
          <w:color w:val="156082" w:themeColor="accent1"/>
        </w:rPr>
      </w:pPr>
      <w:r>
        <w:rPr>
          <w:b/>
          <w:caps/>
          <w:color w:val="156082" w:themeColor="accent1"/>
        </w:rPr>
        <w:t>Policy</w:t>
      </w:r>
    </w:p>
    <w:p w14:paraId="5EDD94B8" w14:textId="7373F0D3" w:rsidR="005879B2" w:rsidRDefault="005879B2" w:rsidP="005879B2">
      <w:pPr>
        <w:spacing w:before="40" w:after="240"/>
        <w:jc w:val="both"/>
      </w:pPr>
      <w:r w:rsidRPr="0078258E">
        <w:t xml:space="preserve">The Department of Education (which includes </w:t>
      </w:r>
      <w:r>
        <w:t xml:space="preserve">Wantirna Primary </w:t>
      </w:r>
      <w:r>
        <w:t>School</w:t>
      </w:r>
      <w:r w:rsidRPr="00550086">
        <w:t>)</w:t>
      </w:r>
      <w:r>
        <w:t xml:space="preserve"> </w:t>
      </w:r>
      <w:r w:rsidRPr="0078258E">
        <w:t>does not have insurance for accidental injuries or accidental property damage</w:t>
      </w:r>
      <w:r>
        <w:t>/loss</w:t>
      </w:r>
      <w:r w:rsidRPr="0078258E">
        <w:t xml:space="preserve">.   However, in some circumstances, medical or other expenses </w:t>
      </w:r>
      <w:r>
        <w:t xml:space="preserve">may </w:t>
      </w:r>
      <w:r w:rsidRPr="0078258E">
        <w:t>be paid by the Department where it is assessed that it is likely, in all the circumstances, that the</w:t>
      </w:r>
      <w:r>
        <w:t xml:space="preserve"> injury or property damage/loss was sustained </w:t>
      </w:r>
      <w:proofErr w:type="gramStart"/>
      <w:r>
        <w:t>as a result of</w:t>
      </w:r>
      <w:proofErr w:type="gramEnd"/>
      <w:r>
        <w:t xml:space="preserve"> the Department failing to meet their duty of </w:t>
      </w:r>
      <w:proofErr w:type="gramStart"/>
      <w:r>
        <w:t>care.</w:t>
      </w:r>
      <w:r w:rsidRPr="0078258E">
        <w:t>.</w:t>
      </w:r>
      <w:proofErr w:type="gramEnd"/>
      <w:r w:rsidRPr="0078258E">
        <w:t xml:space="preserve"> For more information about the Department’s public liability claims process, please see </w:t>
      </w:r>
      <w:hyperlink r:id="rId8" w:history="1">
        <w:r w:rsidRPr="0078258E">
          <w:rPr>
            <w:rStyle w:val="Hyperlink"/>
          </w:rPr>
          <w:t>Legal claims, subpoenas, summonses and other legal documents</w:t>
        </w:r>
      </w:hyperlink>
      <w:r w:rsidRPr="0078258E">
        <w:t>.</w:t>
      </w:r>
    </w:p>
    <w:p w14:paraId="759F5193" w14:textId="77777777" w:rsidR="005879B2" w:rsidRPr="005207AB" w:rsidRDefault="005879B2" w:rsidP="005879B2">
      <w:pPr>
        <w:spacing w:before="40" w:after="240"/>
        <w:jc w:val="both"/>
      </w:pPr>
      <w:r w:rsidRPr="005207AB">
        <w:t>Example School encourages parents and carers to consider obtaining their own accident insurance for students and property of value that may be brought to school</w:t>
      </w:r>
      <w:r>
        <w:t xml:space="preserve"> or on a school excursion</w:t>
      </w:r>
      <w:r w:rsidRPr="005207AB">
        <w:t xml:space="preserve">. </w:t>
      </w:r>
    </w:p>
    <w:p w14:paraId="7C096278" w14:textId="77777777" w:rsidR="005879B2" w:rsidRPr="0078258E" w:rsidRDefault="005879B2" w:rsidP="005879B2">
      <w:pPr>
        <w:spacing w:before="40" w:after="240"/>
        <w:jc w:val="both"/>
        <w:rPr>
          <w:b/>
          <w:bCs/>
        </w:rPr>
      </w:pPr>
      <w:r w:rsidRPr="0078258E">
        <w:rPr>
          <w:b/>
          <w:bCs/>
        </w:rPr>
        <w:t>Personal property</w:t>
      </w:r>
    </w:p>
    <w:p w14:paraId="0F138F5B" w14:textId="688733DF" w:rsidR="005879B2" w:rsidRPr="0078258E" w:rsidRDefault="005879B2" w:rsidP="005879B2">
      <w:pPr>
        <w:spacing w:before="40" w:after="240"/>
        <w:jc w:val="both"/>
        <w:rPr>
          <w:b/>
          <w:bCs/>
          <w:highlight w:val="yellow"/>
        </w:rPr>
      </w:pPr>
      <w:r>
        <w:lastRenderedPageBreak/>
        <w:t>Wantirna Primary School</w:t>
      </w:r>
      <w:r w:rsidRPr="00550086">
        <w:t xml:space="preserve"> understands that </w:t>
      </w:r>
      <w:r>
        <w:t xml:space="preserve">staff and/or </w:t>
      </w:r>
      <w:r w:rsidRPr="00550086">
        <w:t>students may</w:t>
      </w:r>
      <w:r>
        <w:t xml:space="preserve"> sometimes</w:t>
      </w:r>
      <w:r w:rsidRPr="00550086">
        <w:t xml:space="preserve"> like to bring items of personal property to school</w:t>
      </w:r>
      <w:r>
        <w:t xml:space="preserve"> or on school excursions</w:t>
      </w:r>
      <w:r w:rsidRPr="00550086">
        <w:t xml:space="preserve">. </w:t>
      </w:r>
    </w:p>
    <w:p w14:paraId="7C6F4FFA" w14:textId="4CAAF049" w:rsidR="005879B2" w:rsidRPr="00550086" w:rsidRDefault="005879B2" w:rsidP="005879B2">
      <w:pPr>
        <w:spacing w:before="40" w:after="240"/>
        <w:jc w:val="both"/>
      </w:pPr>
      <w:r w:rsidRPr="00550086">
        <w:t xml:space="preserve">The Department of Education </w:t>
      </w:r>
      <w:r>
        <w:t xml:space="preserve">does not have </w:t>
      </w:r>
      <w:r w:rsidRPr="00550086">
        <w:t xml:space="preserve">insurance for </w:t>
      </w:r>
      <w:r>
        <w:t>personal property of staff, students and visitors.</w:t>
      </w:r>
      <w:r w:rsidRPr="00550086">
        <w:t xml:space="preserve"> </w:t>
      </w:r>
      <w:r>
        <w:t>Wantirna Primary School</w:t>
      </w:r>
      <w:r w:rsidRPr="00550086">
        <w:t xml:space="preserve"> does not take responsibility for items of personal property </w:t>
      </w:r>
      <w:r>
        <w:t>(including electronics such as iPads, laptops, mobile phones etc)</w:t>
      </w:r>
      <w:r w:rsidRPr="001C2720">
        <w:t xml:space="preserve"> </w:t>
      </w:r>
      <w:r w:rsidRPr="00550086">
        <w:t>that are lost, stolen or damaged at school or during school activities. Damage to personal property brought to school</w:t>
      </w:r>
      <w:r>
        <w:t xml:space="preserve"> or on school excursions</w:t>
      </w:r>
      <w:r w:rsidRPr="00550086">
        <w:t xml:space="preserve"> is</w:t>
      </w:r>
      <w:r>
        <w:t xml:space="preserve"> the responsibility of the owner of that property. </w:t>
      </w:r>
    </w:p>
    <w:p w14:paraId="555C1352" w14:textId="6EE81B30" w:rsidR="005879B2" w:rsidRPr="00550086" w:rsidRDefault="005879B2" w:rsidP="005879B2">
      <w:pPr>
        <w:spacing w:before="40" w:after="240"/>
        <w:jc w:val="both"/>
      </w:pPr>
      <w:r>
        <w:t>Wantirna Primary School</w:t>
      </w:r>
      <w:r w:rsidRPr="00550086">
        <w:t xml:space="preserve"> encourages </w:t>
      </w:r>
      <w:r>
        <w:t xml:space="preserve">staff and </w:t>
      </w:r>
      <w:r w:rsidRPr="00550086">
        <w:t>students not to bring items of value to school</w:t>
      </w:r>
      <w:r>
        <w:t xml:space="preserve"> or on school excursions</w:t>
      </w:r>
      <w:r w:rsidRPr="00550086">
        <w:t xml:space="preserve">, or </w:t>
      </w:r>
      <w:r>
        <w:t xml:space="preserve">to </w:t>
      </w:r>
      <w:r w:rsidRPr="00550086">
        <w:t xml:space="preserve">obtain appropriate insurance for such items. </w:t>
      </w:r>
    </w:p>
    <w:p w14:paraId="485E0109" w14:textId="2A18FF42" w:rsidR="005879B2" w:rsidRDefault="005879B2" w:rsidP="005879B2">
      <w:pPr>
        <w:spacing w:before="40" w:after="240"/>
        <w:jc w:val="both"/>
      </w:pPr>
      <w:r w:rsidRPr="00550086">
        <w:t xml:space="preserve">If </w:t>
      </w:r>
      <w:r w:rsidRPr="005879B2">
        <w:t xml:space="preserve">students bring items of value to school, they will be confiscated and stored securely at </w:t>
      </w:r>
      <w:r w:rsidRPr="005879B2">
        <w:t>the s</w:t>
      </w:r>
      <w:r w:rsidRPr="005879B2">
        <w:t>chool Office until the end of the day, when the items may be collected by the student and/or parent.</w:t>
      </w:r>
      <w:r w:rsidRPr="00550086">
        <w:t xml:space="preserve"> </w:t>
      </w:r>
    </w:p>
    <w:p w14:paraId="595AA4B6" w14:textId="77777777" w:rsidR="005879B2" w:rsidRPr="00B372FE" w:rsidRDefault="005879B2" w:rsidP="005879B2">
      <w:pPr>
        <w:spacing w:before="40" w:after="240"/>
        <w:jc w:val="both"/>
        <w:rPr>
          <w:b/>
          <w:bCs/>
        </w:rPr>
      </w:pPr>
      <w:r w:rsidRPr="00B372FE">
        <w:rPr>
          <w:b/>
          <w:bCs/>
        </w:rPr>
        <w:t>Student medical expenses</w:t>
      </w:r>
    </w:p>
    <w:p w14:paraId="056DD048" w14:textId="77777777" w:rsidR="005879B2" w:rsidRPr="00B372FE" w:rsidRDefault="005879B2" w:rsidP="005879B2">
      <w:pPr>
        <w:numPr>
          <w:ilvl w:val="0"/>
          <w:numId w:val="26"/>
        </w:numPr>
        <w:spacing w:before="40" w:after="240"/>
        <w:jc w:val="both"/>
      </w:pPr>
      <w:proofErr w:type="gramStart"/>
      <w:r w:rsidRPr="00B372FE">
        <w:t>In the event that</w:t>
      </w:r>
      <w:proofErr w:type="gramEnd"/>
      <w:r w:rsidRPr="00B372FE">
        <w:t xml:space="preserve"> a student is injured at school or while participating in a school activity</w:t>
      </w:r>
      <w:r>
        <w:t xml:space="preserve"> (including offsite)</w:t>
      </w:r>
      <w:r w:rsidRPr="00B372FE">
        <w:t xml:space="preserve"> and requires medical treatment, parents/carers are responsible for </w:t>
      </w:r>
      <w:proofErr w:type="gramStart"/>
      <w:r w:rsidRPr="00B372FE">
        <w:t>all of</w:t>
      </w:r>
      <w:proofErr w:type="gramEnd"/>
      <w:r w:rsidRPr="00B372FE">
        <w:t xml:space="preserve"> their child’s medical expenses. This includes transport costs such as ambulance costs (which may include an air ambulance if considered necessary)</w:t>
      </w:r>
    </w:p>
    <w:p w14:paraId="60DC1ECA" w14:textId="0148D6BE" w:rsidR="005879B2" w:rsidRPr="00B372FE" w:rsidRDefault="005879B2" w:rsidP="005879B2">
      <w:pPr>
        <w:numPr>
          <w:ilvl w:val="0"/>
          <w:numId w:val="26"/>
        </w:numPr>
        <w:spacing w:before="40" w:after="240"/>
        <w:jc w:val="both"/>
      </w:pPr>
      <w:r w:rsidRPr="00B372FE">
        <w:t xml:space="preserve">In a medical emergency, </w:t>
      </w:r>
      <w:r>
        <w:t xml:space="preserve">Wantirna Primary School </w:t>
      </w:r>
      <w:r w:rsidRPr="00B372FE">
        <w:t>will prioritise the child and may not call parents/carers if an ambulance is required, until after an ambulance is called, depending on the situation</w:t>
      </w:r>
    </w:p>
    <w:p w14:paraId="779613E8" w14:textId="47623BE4" w:rsidR="005879B2" w:rsidRPr="00B372FE" w:rsidRDefault="005879B2" w:rsidP="005879B2">
      <w:pPr>
        <w:numPr>
          <w:ilvl w:val="0"/>
          <w:numId w:val="26"/>
        </w:numPr>
        <w:spacing w:before="40" w:after="240"/>
        <w:jc w:val="both"/>
      </w:pPr>
      <w:r>
        <w:t xml:space="preserve">Wantirna Primary School </w:t>
      </w:r>
      <w:r w:rsidRPr="00B372FE">
        <w:t xml:space="preserve">encourages parents and carers to consider obtaining ambulance cover (see </w:t>
      </w:r>
      <w:hyperlink r:id="rId9" w:history="1">
        <w:r w:rsidRPr="00B372FE">
          <w:rPr>
            <w:rStyle w:val="Hyperlink"/>
          </w:rPr>
          <w:t>Membership - Ambulance Victoria</w:t>
        </w:r>
      </w:hyperlink>
      <w:r w:rsidRPr="00B372FE">
        <w:t>) and/or appropriate medical insurance</w:t>
      </w:r>
    </w:p>
    <w:p w14:paraId="53869408" w14:textId="77777777" w:rsidR="005879B2" w:rsidRPr="00390703" w:rsidRDefault="005879B2" w:rsidP="005879B2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5879B2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COMMUNICATION</w:t>
      </w:r>
    </w:p>
    <w:p w14:paraId="293A397D" w14:textId="77777777" w:rsidR="005879B2" w:rsidRPr="005879B2" w:rsidRDefault="005879B2" w:rsidP="005879B2">
      <w:r w:rsidRPr="005879B2">
        <w:t xml:space="preserve">This policy will be communicated to our school community in the following ways: </w:t>
      </w:r>
    </w:p>
    <w:p w14:paraId="39BC4096" w14:textId="77777777" w:rsidR="005879B2" w:rsidRPr="005879B2" w:rsidRDefault="005879B2" w:rsidP="005879B2">
      <w:pPr>
        <w:pStyle w:val="ListParagraph"/>
        <w:numPr>
          <w:ilvl w:val="0"/>
          <w:numId w:val="25"/>
        </w:numPr>
        <w:spacing w:line="257" w:lineRule="auto"/>
        <w:jc w:val="both"/>
        <w:rPr>
          <w:rFonts w:eastAsiaTheme="minorEastAsia"/>
        </w:rPr>
      </w:pPr>
      <w:r w:rsidRPr="005879B2">
        <w:rPr>
          <w:rFonts w:ascii="Calibri" w:eastAsia="Calibri" w:hAnsi="Calibri" w:cs="Calibri"/>
        </w:rPr>
        <w:t xml:space="preserve">Annual reminders in our school newsletter </w:t>
      </w:r>
    </w:p>
    <w:p w14:paraId="15E0265A" w14:textId="52CB6A26" w:rsidR="005879B2" w:rsidRPr="005879B2" w:rsidRDefault="005879B2" w:rsidP="005879B2">
      <w:pPr>
        <w:pStyle w:val="ListParagraph"/>
        <w:numPr>
          <w:ilvl w:val="0"/>
          <w:numId w:val="25"/>
        </w:numPr>
        <w:spacing w:after="180" w:line="240" w:lineRule="auto"/>
        <w:jc w:val="both"/>
      </w:pPr>
      <w:r w:rsidRPr="005879B2">
        <w:t>Available publicly on our school’s website (or insert other online parent/carer/student communication method)</w:t>
      </w:r>
    </w:p>
    <w:p w14:paraId="532BFB53" w14:textId="77777777" w:rsidR="005879B2" w:rsidRPr="005879B2" w:rsidRDefault="005879B2" w:rsidP="005879B2">
      <w:pPr>
        <w:pStyle w:val="ListParagraph"/>
        <w:numPr>
          <w:ilvl w:val="0"/>
          <w:numId w:val="25"/>
        </w:numPr>
        <w:spacing w:line="257" w:lineRule="auto"/>
        <w:jc w:val="both"/>
        <w:rPr>
          <w:rFonts w:eastAsiaTheme="minorEastAsia"/>
        </w:rPr>
      </w:pPr>
      <w:r w:rsidRPr="005879B2">
        <w:rPr>
          <w:rFonts w:eastAsiaTheme="minorEastAsia"/>
        </w:rPr>
        <w:t>Discussed at parent information nights/sessions</w:t>
      </w:r>
    </w:p>
    <w:p w14:paraId="59557492" w14:textId="1562D9B8" w:rsidR="005879B2" w:rsidRPr="005879B2" w:rsidRDefault="005879B2" w:rsidP="005879B2">
      <w:pPr>
        <w:pStyle w:val="ListParagraph"/>
        <w:numPr>
          <w:ilvl w:val="0"/>
          <w:numId w:val="25"/>
        </w:numPr>
        <w:spacing w:after="180" w:line="240" w:lineRule="auto"/>
        <w:jc w:val="both"/>
      </w:pPr>
      <w:r w:rsidRPr="005879B2">
        <w:t>Hard copy available from school administration upon reques</w:t>
      </w:r>
      <w:r w:rsidRPr="005879B2">
        <w:t>t.</w:t>
      </w:r>
    </w:p>
    <w:p w14:paraId="3E65E193" w14:textId="77777777" w:rsidR="005879B2" w:rsidRPr="008E4770" w:rsidRDefault="005879B2" w:rsidP="005879B2">
      <w:pPr>
        <w:pStyle w:val="Heading2"/>
        <w:spacing w:after="240" w:line="240" w:lineRule="auto"/>
        <w:jc w:val="both"/>
        <w:rPr>
          <w:b/>
          <w:caps/>
          <w:color w:val="156082" w:themeColor="accent1"/>
        </w:rPr>
      </w:pPr>
      <w:r>
        <w:rPr>
          <w:b/>
          <w:caps/>
          <w:color w:val="156082" w:themeColor="accent1"/>
        </w:rPr>
        <w:t>RELATED POLICIES</w:t>
      </w:r>
      <w:r w:rsidRPr="008E4770">
        <w:rPr>
          <w:b/>
          <w:caps/>
          <w:color w:val="156082" w:themeColor="accent1"/>
        </w:rPr>
        <w:t xml:space="preserve"> and r</w:t>
      </w:r>
      <w:r>
        <w:rPr>
          <w:b/>
          <w:caps/>
          <w:color w:val="156082" w:themeColor="accent1"/>
        </w:rPr>
        <w:t>esources</w:t>
      </w:r>
    </w:p>
    <w:p w14:paraId="658BAAC1" w14:textId="77777777" w:rsidR="005879B2" w:rsidRDefault="005879B2" w:rsidP="005879B2">
      <w:pPr>
        <w:pStyle w:val="ListParagraph"/>
        <w:numPr>
          <w:ilvl w:val="0"/>
          <w:numId w:val="24"/>
        </w:numPr>
        <w:spacing w:before="40" w:after="240" w:line="240" w:lineRule="auto"/>
        <w:jc w:val="both"/>
      </w:pPr>
      <w:r>
        <w:t xml:space="preserve">the Department’s Policy and Advisory Library (PAL): </w:t>
      </w:r>
    </w:p>
    <w:p w14:paraId="3A228C99" w14:textId="77777777" w:rsidR="005879B2" w:rsidRPr="0078258E" w:rsidRDefault="005879B2" w:rsidP="005879B2">
      <w:pPr>
        <w:pStyle w:val="ListParagraph"/>
        <w:numPr>
          <w:ilvl w:val="1"/>
          <w:numId w:val="24"/>
        </w:numPr>
        <w:spacing w:line="257" w:lineRule="auto"/>
        <w:rPr>
          <w:rFonts w:ascii="Calibri Light" w:hAnsi="Calibri Light" w:cs="Calibri Light"/>
          <w:b/>
          <w:bCs/>
          <w:color w:val="4472C4"/>
          <w:sz w:val="27"/>
          <w:szCs w:val="27"/>
        </w:rPr>
      </w:pPr>
      <w:hyperlink r:id="rId10" w:history="1">
        <w:r w:rsidRPr="00895BAF">
          <w:rPr>
            <w:rStyle w:val="Hyperlink"/>
          </w:rPr>
          <w:t>Claims for Property Damage and Medical Expenses</w:t>
        </w:r>
      </w:hyperlink>
    </w:p>
    <w:p w14:paraId="5A78A54B" w14:textId="77777777" w:rsidR="005879B2" w:rsidRPr="0078258E" w:rsidRDefault="005879B2" w:rsidP="005879B2">
      <w:pPr>
        <w:pStyle w:val="ListParagraph"/>
        <w:numPr>
          <w:ilvl w:val="1"/>
          <w:numId w:val="24"/>
        </w:numPr>
        <w:spacing w:line="257" w:lineRule="auto"/>
        <w:rPr>
          <w:rFonts w:ascii="Calibri" w:hAnsi="Calibri" w:cs="Calibri"/>
          <w:color w:val="4472C4"/>
        </w:rPr>
      </w:pPr>
      <w:hyperlink r:id="rId11" w:history="1">
        <w:r w:rsidRPr="0078258E">
          <w:rPr>
            <w:rStyle w:val="Hyperlink"/>
            <w:rFonts w:ascii="Calibri" w:hAnsi="Calibri" w:cs="Calibri"/>
          </w:rPr>
          <w:t>Legal Claims, Subpoenas, Summonses and Other Legal Documents</w:t>
        </w:r>
      </w:hyperlink>
    </w:p>
    <w:p w14:paraId="616A14AC" w14:textId="77777777" w:rsidR="005879B2" w:rsidRPr="0078258E" w:rsidRDefault="005879B2" w:rsidP="005879B2">
      <w:pPr>
        <w:pStyle w:val="ListParagraph"/>
        <w:numPr>
          <w:ilvl w:val="1"/>
          <w:numId w:val="24"/>
        </w:numPr>
        <w:spacing w:line="257" w:lineRule="auto"/>
        <w:rPr>
          <w:rFonts w:ascii="Calibri" w:hAnsi="Calibri" w:cs="Calibri"/>
          <w:color w:val="4472C4"/>
        </w:rPr>
      </w:pPr>
      <w:hyperlink r:id="rId12" w:history="1">
        <w:r w:rsidRPr="0078258E">
          <w:rPr>
            <w:rStyle w:val="Hyperlink"/>
            <w:rFonts w:ascii="Calibri" w:hAnsi="Calibri" w:cs="Calibri"/>
          </w:rPr>
          <w:t>Insurance for Schools</w:t>
        </w:r>
      </w:hyperlink>
    </w:p>
    <w:p w14:paraId="3DA7EFF0" w14:textId="77777777" w:rsidR="005879B2" w:rsidRPr="00FB5007" w:rsidRDefault="005879B2" w:rsidP="005879B2">
      <w:pP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FB5007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 xml:space="preserve">POLICY REVIEW AND APPROVAL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5879B2" w14:paraId="487318A6" w14:textId="77777777" w:rsidTr="008A7F25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ACA1C7" w14:textId="77777777" w:rsidR="005879B2" w:rsidRDefault="005879B2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lastRenderedPageBreak/>
              <w:t>Policy last reviewed 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C73618" w14:textId="3873AB32" w:rsidR="005879B2" w:rsidRDefault="005879B2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October 2025</w:t>
            </w:r>
          </w:p>
        </w:tc>
      </w:tr>
      <w:tr w:rsidR="005879B2" w14:paraId="51B1862F" w14:textId="77777777" w:rsidTr="008A7F25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8581BC" w14:textId="77777777" w:rsidR="005879B2" w:rsidRDefault="005879B2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CEAC36" w14:textId="77777777" w:rsidR="005879B2" w:rsidRDefault="005879B2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P</w:t>
            </w:r>
            <w:r>
              <w:t>rincipal</w:t>
            </w:r>
            <w:r>
              <w:rPr>
                <w:lang w:eastAsia="en-AU"/>
              </w:rPr>
              <w:t> </w:t>
            </w:r>
          </w:p>
        </w:tc>
      </w:tr>
      <w:tr w:rsidR="005879B2" w14:paraId="3E67263B" w14:textId="77777777" w:rsidTr="008A7F25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759F81" w14:textId="77777777" w:rsidR="005879B2" w:rsidRDefault="005879B2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74D6F5" w14:textId="3EF5F08F" w:rsidR="005879B2" w:rsidRDefault="005879B2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October 2026</w:t>
            </w:r>
            <w:r w:rsidDel="00E1283E">
              <w:rPr>
                <w:lang w:eastAsia="en-AU"/>
              </w:rPr>
              <w:t xml:space="preserve"> </w:t>
            </w:r>
          </w:p>
        </w:tc>
      </w:tr>
    </w:tbl>
    <w:p w14:paraId="16328C3D" w14:textId="77777777" w:rsidR="005879B2" w:rsidRDefault="005879B2" w:rsidP="005879B2">
      <w:pPr>
        <w:rPr>
          <w:rFonts w:ascii="Calibri" w:hAnsi="Calibri" w:cs="Calibri"/>
        </w:rPr>
      </w:pPr>
    </w:p>
    <w:p w14:paraId="0D33DB7D" w14:textId="77777777" w:rsidR="00B4332F" w:rsidRDefault="00B4332F"/>
    <w:sectPr w:rsidR="00B43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24AD7"/>
    <w:multiLevelType w:val="hybridMultilevel"/>
    <w:tmpl w:val="BC42D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24BC"/>
    <w:multiLevelType w:val="multilevel"/>
    <w:tmpl w:val="08F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D2146D"/>
    <w:multiLevelType w:val="hybridMultilevel"/>
    <w:tmpl w:val="B9A46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2D60"/>
    <w:multiLevelType w:val="hybridMultilevel"/>
    <w:tmpl w:val="0922D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60E7"/>
    <w:multiLevelType w:val="hybridMultilevel"/>
    <w:tmpl w:val="92043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732AE"/>
    <w:multiLevelType w:val="hybridMultilevel"/>
    <w:tmpl w:val="F57A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18A"/>
    <w:multiLevelType w:val="hybridMultilevel"/>
    <w:tmpl w:val="C7B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37789"/>
    <w:multiLevelType w:val="hybridMultilevel"/>
    <w:tmpl w:val="19E85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B00E6"/>
    <w:multiLevelType w:val="hybridMultilevel"/>
    <w:tmpl w:val="67E2E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6B55760D"/>
    <w:multiLevelType w:val="hybridMultilevel"/>
    <w:tmpl w:val="68B8C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F2DB4"/>
    <w:multiLevelType w:val="hybridMultilevel"/>
    <w:tmpl w:val="FAC85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D51AD"/>
    <w:multiLevelType w:val="multilevel"/>
    <w:tmpl w:val="406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B3A2D"/>
    <w:multiLevelType w:val="multilevel"/>
    <w:tmpl w:val="183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6919228">
    <w:abstractNumId w:val="3"/>
  </w:num>
  <w:num w:numId="2" w16cid:durableId="1548906168">
    <w:abstractNumId w:val="7"/>
  </w:num>
  <w:num w:numId="3" w16cid:durableId="871722593">
    <w:abstractNumId w:val="10"/>
  </w:num>
  <w:num w:numId="4" w16cid:durableId="951135028">
    <w:abstractNumId w:val="21"/>
  </w:num>
  <w:num w:numId="5" w16cid:durableId="494339316">
    <w:abstractNumId w:val="23"/>
  </w:num>
  <w:num w:numId="6" w16cid:durableId="1185091730">
    <w:abstractNumId w:val="25"/>
  </w:num>
  <w:num w:numId="7" w16cid:durableId="1688100099">
    <w:abstractNumId w:val="8"/>
  </w:num>
  <w:num w:numId="8" w16cid:durableId="1732390080">
    <w:abstractNumId w:val="22"/>
  </w:num>
  <w:num w:numId="9" w16cid:durableId="23286290">
    <w:abstractNumId w:val="9"/>
  </w:num>
  <w:num w:numId="10" w16cid:durableId="2118985880">
    <w:abstractNumId w:val="17"/>
  </w:num>
  <w:num w:numId="11" w16cid:durableId="1865361722">
    <w:abstractNumId w:val="4"/>
  </w:num>
  <w:num w:numId="12" w16cid:durableId="2058703522">
    <w:abstractNumId w:val="16"/>
  </w:num>
  <w:num w:numId="13" w16cid:durableId="170032739">
    <w:abstractNumId w:val="15"/>
  </w:num>
  <w:num w:numId="14" w16cid:durableId="1323511746">
    <w:abstractNumId w:val="0"/>
  </w:num>
  <w:num w:numId="15" w16cid:durableId="711464617">
    <w:abstractNumId w:val="24"/>
  </w:num>
  <w:num w:numId="16" w16cid:durableId="631717394">
    <w:abstractNumId w:val="20"/>
  </w:num>
  <w:num w:numId="17" w16cid:durableId="442263944">
    <w:abstractNumId w:val="5"/>
  </w:num>
  <w:num w:numId="18" w16cid:durableId="1179156170">
    <w:abstractNumId w:val="13"/>
  </w:num>
  <w:num w:numId="19" w16cid:durableId="299117832">
    <w:abstractNumId w:val="11"/>
  </w:num>
  <w:num w:numId="20" w16cid:durableId="793213092">
    <w:abstractNumId w:val="14"/>
  </w:num>
  <w:num w:numId="21" w16cid:durableId="707755771">
    <w:abstractNumId w:val="12"/>
  </w:num>
  <w:num w:numId="22" w16cid:durableId="1989363290">
    <w:abstractNumId w:val="18"/>
  </w:num>
  <w:num w:numId="23" w16cid:durableId="1923106123">
    <w:abstractNumId w:val="2"/>
  </w:num>
  <w:num w:numId="24" w16cid:durableId="1835219259">
    <w:abstractNumId w:val="19"/>
  </w:num>
  <w:num w:numId="25" w16cid:durableId="1292830806">
    <w:abstractNumId w:val="1"/>
  </w:num>
  <w:num w:numId="26" w16cid:durableId="615337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EC"/>
    <w:rsid w:val="000443EC"/>
    <w:rsid w:val="003F1731"/>
    <w:rsid w:val="004A692F"/>
    <w:rsid w:val="00505E02"/>
    <w:rsid w:val="005879B2"/>
    <w:rsid w:val="00A12758"/>
    <w:rsid w:val="00A6153C"/>
    <w:rsid w:val="00B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C562"/>
  <w15:chartTrackingRefBased/>
  <w15:docId w15:val="{1518980D-B4B8-4A25-882E-298E638B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E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3EC"/>
    <w:rPr>
      <w:color w:val="467886" w:themeColor="hyperlink"/>
      <w:u w:val="single"/>
    </w:rPr>
  </w:style>
  <w:style w:type="character" w:customStyle="1" w:styleId="rpl-text-icongroup">
    <w:name w:val="rpl-text-icon__group"/>
    <w:basedOn w:val="DefaultParagraphFont"/>
    <w:rsid w:val="000443EC"/>
  </w:style>
  <w:style w:type="paragraph" w:styleId="NormalWeb">
    <w:name w:val="Normal (Web)"/>
    <w:basedOn w:val="Normal"/>
    <w:uiPriority w:val="99"/>
    <w:semiHidden/>
    <w:unhideWhenUsed/>
    <w:rsid w:val="000443EC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43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33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legal-claims-subpoenas-summonses-and-other-legal-documents/poli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tirna.ps@education.vic.gov.au" TargetMode="External"/><Relationship Id="rId12" Type="http://schemas.openxmlformats.org/officeDocument/2006/relationships/hyperlink" Target="https://www2.education.vic.gov.au/pal/insurance/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2.education.vic.gov.au/pal/legal-claims-subpoenas-summonses-and-other-legal-documents/polic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education.vic.gov.au/pal/claims-property-damage-and-medical-expenses/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?url=https%3A%2F%2Fwww.ambulance.vic.gov.au%2Fmembership%2F&amp;data=05%7C02%7CJaclyn.Coleman%40education.vic.gov.au%7Cfc70b2cf9a7744c0cee608dd4bff7c11%7Cd96cb3371a8744cfb69b3cec334a4c1f%7C0%7C0%7C638750282848376915%7CUnknown%7CTWFpbGZsb3d8eyJFbXB0eU1hcGkiOnRydWUsIlYiOiIwLjAuMDAwMCIsIlAiOiJXaW4zMiIsIkFOIjoiTWFpbCIsIldUIjoyfQ%3D%3D%7C0%7C%7C%7C&amp;sdata=i41pz3WdvLR3Pyv578JKET5ZdtHzskT1ymFxddHO2Ug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Breeden-Walton</dc:creator>
  <cp:keywords/>
  <dc:description/>
  <cp:lastModifiedBy>Amanda Breeden-Walton</cp:lastModifiedBy>
  <cp:revision>2</cp:revision>
  <dcterms:created xsi:type="dcterms:W3CDTF">2025-11-28T09:44:00Z</dcterms:created>
  <dcterms:modified xsi:type="dcterms:W3CDTF">2025-11-28T09:44:00Z</dcterms:modified>
</cp:coreProperties>
</file>